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1"/>
        </w:numPr>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国家标准</w:t>
      </w:r>
    </w:p>
    <w:tbl>
      <w:tblPr>
        <w:tblStyle w:val="10"/>
        <w:tblW w:w="14004"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40" w:type="dxa"/>
          <w:left w:w="108" w:type="dxa"/>
          <w:bottom w:w="40" w:type="dxa"/>
          <w:right w:w="108" w:type="dxa"/>
        </w:tblCellMar>
      </w:tblPr>
      <w:tblGrid>
        <w:gridCol w:w="680"/>
        <w:gridCol w:w="2098"/>
        <w:gridCol w:w="7597"/>
        <w:gridCol w:w="2268"/>
        <w:gridCol w:w="136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tblHeader/>
          <w:jc w:val="center"/>
        </w:trPr>
        <w:tc>
          <w:tcPr>
            <w:tcW w:w="680"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序列</w:t>
            </w:r>
          </w:p>
        </w:tc>
        <w:tc>
          <w:tcPr>
            <w:tcW w:w="2098"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国家标准编号</w:t>
            </w:r>
          </w:p>
        </w:tc>
        <w:tc>
          <w:tcPr>
            <w:tcW w:w="7597"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国  家  标  准  名  称</w:t>
            </w:r>
          </w:p>
        </w:tc>
        <w:tc>
          <w:tcPr>
            <w:tcW w:w="2268"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代替标准号</w:t>
            </w:r>
          </w:p>
        </w:tc>
        <w:tc>
          <w:tcPr>
            <w:tcW w:w="1361" w:type="dxa"/>
            <w:tcBorders>
              <w:bottom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color w:val="000000"/>
                <w:kern w:val="0"/>
                <w:sz w:val="20"/>
                <w:szCs w:val="20"/>
              </w:rPr>
            </w:pPr>
            <w:r>
              <w:rPr>
                <w:rFonts w:hint="eastAsia" w:ascii="黑体" w:hAnsi="黑体" w:eastAsia="黑体" w:cs="黑体"/>
                <w:b w:val="0"/>
                <w:bCs/>
                <w:i w:val="0"/>
                <w:color w:val="000000"/>
                <w:kern w:val="0"/>
                <w:sz w:val="20"/>
                <w:szCs w:val="20"/>
                <w:u w:val="none"/>
                <w:lang w:val="en-US" w:eastAsia="zh-CN" w:bidi="ar"/>
              </w:rPr>
              <w:t>实施日期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tcBorders>
              <w:top w:val="single" w:color="auto" w:sz="4" w:space="0"/>
            </w:tcBorders>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w:t>
            </w:r>
          </w:p>
        </w:tc>
        <w:tc>
          <w:tcPr>
            <w:tcW w:w="2098" w:type="dxa"/>
            <w:tcBorders>
              <w:top w:val="single" w:color="auto" w:sz="4" w:space="0"/>
            </w:tcBorders>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7939.3-2023</w:t>
            </w:r>
          </w:p>
        </w:tc>
        <w:tc>
          <w:tcPr>
            <w:tcW w:w="7597" w:type="dxa"/>
            <w:tcBorders>
              <w:top w:val="single" w:color="auto" w:sz="4" w:space="0"/>
            </w:tcBorders>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液压传动连接  试验方法  第3部分：软管总成</w:t>
            </w:r>
          </w:p>
        </w:tc>
        <w:tc>
          <w:tcPr>
            <w:tcW w:w="2268" w:type="dxa"/>
            <w:tcBorders>
              <w:top w:val="single" w:color="auto" w:sz="4" w:space="0"/>
            </w:tcBorders>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7939-2008</w:t>
            </w:r>
          </w:p>
        </w:tc>
        <w:tc>
          <w:tcPr>
            <w:tcW w:w="1361" w:type="dxa"/>
            <w:tcBorders>
              <w:top w:val="single" w:color="auto" w:sz="4" w:space="0"/>
            </w:tcBorders>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14034.2-2023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液压传动连接  金属管接头  第2部分：37°扩口式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14034.4-2023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液压传动连接  金属管接头  第4部分：60°锥形</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33636-2023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气动  用于塑料管的插入式管接头</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33636-2017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流体传动系统及元件  参考词典规范  第1部分：组织结构概述</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流体传动系统及元件 参考词典规范 第2部分：气动产品类与特性的定义</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22466-2023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索引编制规则（总则）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22466-2008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5338.1-2023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系列1集装箱  技术要求和试验方法  第1部分：通用集装箱</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5338-2002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17272.1-2023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集装箱在船舶上的信息 第1部分：箱位坐标代码</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17272.1-1998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17272.2-2023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集装箱在船舶上的信息  第2部分：电传数据代码</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17272.2-1998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18433-2023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航空货运保温集装箱热性能要求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18433-2001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集装箱电子箱封技术规范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5703-2023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用于技术设计的人体测量基础项目</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5703-2010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16251-2023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工作系统设计的人类工效学原则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16251-2008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23698-2023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三维扫描人体测量方法的一般要求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23698-2009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4798.3-2023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环境条件分类 环境参数组分类及其严酷程度分级 第3部分：有气候防护场所固定使用</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4798.3-2007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4798.4-2023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环境条件分类 环境参数组分类及其严酷程度分级 第4部分：无气候防护场所固定使用</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4798.4-2007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14092.1-2023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机械产品环境条件 第1部分：湿热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14092.1-2009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14092.2-2023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机械产品环境条件 第2部分：寒冷</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14092.2-2009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27889-2023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船舶和海上技术  导航术语、缩略语、图形符号和概念</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27889-2011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21228.2-2023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声学 表面声散射特性 第2部分：自由场方向性扩散系数测量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声学 小楼板模块测量覆面层撞击声改善量的实验室方法 第1部分：重质密实楼板</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声学  干涉型光纤水听器相移灵敏度测量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真空技术  真空计  热阴极电离真空计规范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4502-2023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轿车轮胎性能室内试验方法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4502-2016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30195-2023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轿车轮胎耐撞击性能试验方法  摆锤法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30195-2013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30256-2023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节能量测量和验证技术要求 电机系统</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30256-2013,</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30257-2013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机床安全 金属锯床</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3785.1-2023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电声学 声级计 第1部分：规范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3785.1-2010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3785.2-2023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电声学 声级计 第2部分：型式评价试验</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3785.2-2010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电声学  确定声级计自由场响应修正值的方法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21972.2-2023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起重及冶金用变频调速三相异步电动机技术条件  第2部分：YZP系列起重及冶金用变频调速三相异步电动机(轴流风机冷却)(机座号：100～400）</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21972.2-2012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21972.3-2023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起重及冶金用变频调速三相异步电动机技术条件  第3部分：YZP系列起重及冶金用变频调速三相异步电动机(离心风机冷却)（机座号100～400）</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21972.3-2013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26237.5-2023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生物特征识别数据交换格式 第5部分:人脸图像数据</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26237.5-2014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26237.11-2023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生物特征识别数据交换格式 第11部分：处理过的签名/签字动态数据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26237.13-2023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生物特征识别数据交换格式 第13部分：声音数据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26237.14-2023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生物特征识别数据交换格式 第14部分：DNA数据</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26237.14-2019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28826.3-2023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公用生物特征识别交换格式框架 第3部分：维护者格式规范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29268.7-2023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生物特征识别性能测试和报告 第7部分：卡上生物特征识别比对算法测试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37036.9-2023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移动设备生物特征识别 第9部分：测试方法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41815.3-2023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生物特征识别呈现攻击检测 第3部分：测试与报告</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系统与软件工程 开发运维一体化 能力成熟度模型</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系统间远程通信和信息交换 实时以太网适配时间敏感网络技术要求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工业互联网平台选型要求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系统间远程通信和信息交换OPC统一架构与时间敏感网络融合映射</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系统与软件工程　功能规模测量　MkII功能点分析方法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工业互联网平台 微服务参考框架</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工业互联网平台 开放应用编程接口功能要求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信息技术服务 数据中心业务连续性等级评价准则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信息化项目综合绩效评估规范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 指纹识别模块通用规范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系统间远程通信和信息交换 时间敏感网络配置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自动识别与数据采集技术 数据载体标识符</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系统与软件工程　功能规模测量　NESMA方法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42749.1-2023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IT赋能服务业务过程外包（ITES-BPO）生存周期过程 第1部分：过程参考模型（PRM）</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IT赋能服务业务过程外包（ITES-BPO）生存周期过程 第2部分：过程评估模型（PAM）</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42749.3-2023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IT赋能服务业务过程外包（ITES-BPO）生存周期过程 第3部分：度量框架（MF）和组织成熟度模型(OMM)</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IT赋能服务业务过程外包（ITES-BPO）生存周期过程 第4部分：术语和概念</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42749.5-2023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IT赋能服务业务过程外包（ITES-BPO）生存周期过程 第5部分：指南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生物特征识别 高通量测序基因分型系统规范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人工智能 面向机器学习的数据标注规程</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卡及身份识别安全设备 无触点接近式对象 第1部分:物理特性</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42756.2-2023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卡及身份识别安全设备 无触点接近式对象 第2部分：射频功率和信号接口</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42756.3-2023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卡及身份识别安全设备 无触点接近式对象 第3部分：初始化和防冲突</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42756.4-2023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卡及身份识别安全设备 无触点接近式对象 第4部分：传输协议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智能制造水平评价指标体系及指数计算方法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智慧城市 感知终端应用指南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12727-2023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核电厂安全重要电气设备鉴定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12727-2017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69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33145-2023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大容积钢质无缝气瓶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33145-2016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车用高压储氢气瓶组合阀门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高压氢气瓶塑料内胆和氢气相容性试验方法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车用压缩氢气塑料内胆碳纤维全缠绕气瓶</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车用压缩氢气纤维全缠绕气瓶定期检验与评定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4678.14-2023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压铸模 零件  第14部分：限位钉</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4678.14-2003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4678.16-2023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压铸模 零件  第16部分：扁推杆</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4678.16-2003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橡胶 用于表征液体对硫化橡胶影响的标准参比弹性体（SREs）</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22461.2-2023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表面化学分析 词汇 第2部分： 扫描探针显微术术语</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锗酸铋(BGO)晶体 痕量元素化学分析 辉光放电质谱法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79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表面化学分析  扫描探针显微术  悬臂梁法向弹性常数的测定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340"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水处理装置用复合材料罐</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26747-2011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纤维增强复合材料 密封压力容器加速吸湿及过饱和状态调节方法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15663.2-2023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煤矿科技术语 第2部分：井巷工程</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15663.2-2008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29119-2023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煤层气资源勘查技术规范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29119-2012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10228-2023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干式电力变压器技术参数和要求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10228-2015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19749.4-2023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耦合电容器及电容分压器 第4部分：直流或交流单相电容分压器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电力电容器  低压功率因数校正装置</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22582-2008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17343-2023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包装容器 金属方桶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17343-1998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31269-2023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蜂窝纸板箱</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31269-2014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89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风能发电系统 风力发电机组电气特性测量和评估方法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20320-2013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离网型风能、太阳能发电系统用逆变器</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20321.1-2006,</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20321.2-2006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23479-2023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风力发电机组 双馈异步发电机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23479.1-2009,</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23479.2-2009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36237-2023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风能发电系统 通用电气仿真模型</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36237-2018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风力发电机组 风轮叶片超声波检测方法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风能发电系统 电气仿真模型验证</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风能发电系统  风力发电机组塔架和基础设计要求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电工用挤出PTFE软管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中厚壁非阻燃双壁聚烯烃热收缩管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应力控制聚烯烃热收缩管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半导电聚烯烃热收缩管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9239.31-2023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机械振动  转子平衡  第31部分： 机器不平衡易变性和不平衡灵敏度</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19874-2005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5680-2023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奥氏体锰钢铸件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5680-2010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灰铸铁金相检验</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7216-2009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7233.2-2023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铸钢件 超声检测 第2部分：高承压铸钢件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7233.2-2010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锌合金压铸件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13821-2009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15114-2023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铝合金压铸件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15114-2009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15116-2023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压铸铜合金及铜合金压铸件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15116-1994,</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15117-1994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26656-2023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蠕墨铸铁金相检验</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26656-2011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熔模铸造中温模料 第1部分：物理性能试验方法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熔模铸造中温模料 第2部分:使用性能试验方法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金属材料焊缝破坏性试验 横向拉伸试验</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2651-2008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12604.10-2023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术语 第10部分：磁记忆检测</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12604.10-2011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12604.13-2023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术语 第13部分：阵列超声检测</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26140-2023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残余应力测量的中子衍射方法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26140-2010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30564-2023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无损检测人员培训机构</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30564-2014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热喷涂  热喷涂应用指南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18960-2023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便携式链锯  词汇</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18960-2012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便携式割灌机和割草机  词汇</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18961-2012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20455-2023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集运机  术语、定义和规格</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20455-2006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119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20456-2023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便携式链锯  非手动触发式锯链制动器性能</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20456-2012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动力手持式绿篱修剪机  安全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便携式链锯  反弹试验</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稳定性二氧化氯溶液</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20783-2006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醇胺类脱硫脱碳剂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18263-2023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人造板机械  热压机术语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18263-2000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15092.3-2023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器具开关 第2-5部分：转换选择器的特殊要求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15092.3-2014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20078-2023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铜和铜合金 锻件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20078-2006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9452-2023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热处理炉有效加热区测定方法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9452-2012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真空热处理</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22561-2008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129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4937.23-2023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机械和气候试验方法  第23部分：高温工作寿命</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4937.27-2023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机械和气候试验方法 第27部分：静电放电（ESD）敏感度测试  机器模型（MM）</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4937.31-2023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机械和气候试验方法 第31部分：塑封器件的易燃性（内部引起的）</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4937.32-2023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机械和气候试验方法 第32部分：塑封器件的易燃性（外部引起的）</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4937.42-2023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机械和气候试验方法 第42部分：温湿度贮存</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15879.604-2023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半导体器件的机械标准化 第6-4部分：表面安装半导体器件封装外形图绘制的一般规则 焊球阵列（BGA）封装的尺寸测量方法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电子元器件 半导体器件长期贮存 第1部分：总则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42706.2-2023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电子元器件 半导体器件长期贮存 第2部分：退化机理</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42706.5-2023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电子元器件 半导体器件长期贮存 第5部分：芯片和晶圆</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射电望远镜电磁环境保护技术规范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139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国际贸易业务流程规范   电子国际公路货物运输托运单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国际贸易业务流程规范 经核实的载货集装箱总质量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国际贸易业务流程规范 废弃物越境转移</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70.3-2023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降低承载能力內六角沉头螺钉</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70.3-2008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紧固件  验收检查</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90.1-2002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3098.6-2023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紧固件机械性能 不锈钢螺栓、螺钉和螺柱</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3098.6-2014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3098.15-2023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紧固件机械性能 不锈钢螺母</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3098.15-2014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5267.1-2023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紧固件 电镀层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5267.1-2002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15856.5-2023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六角凸缘自钻自攻螺钉</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15856.5-2002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16674.3-2023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六角法兰面螺栓 小系列 A级（扳拧特性按B级）</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149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16824.1-2023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六角凸缘自攻螺钉</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16824.1-2016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圆柱和圆锥管螺纹丝锥的基本尺寸和标志</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20333-2006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25283-2023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矿产资源综合勘查评价规范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25283-2010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锑矿石化学物相分析方法 锑华、辉锑矿和锑酸盐中锑含量的测定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地籍调查规程</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铜镍硫化物矿石化学物相分析方法 6 种矿物相中镍和钴含量的测定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石油天然气钻采设备 井口装置和采油树</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22513-2013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外形尺寸总方案  第1部分：圆锥滚子轴承</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273.1-2011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倒角尺寸  最大值</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274-2000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双列圆锥滚子轴承  外形尺寸</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299-2008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四列圆锥滚子轴承 外形尺寸</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300-2008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304.3-2023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关节轴承  第3部分：配合</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304.3-2002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12765-2023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关节轴承 安装尺寸</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12765-1991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21559.1-2023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直线运动滚动支承  第1部分：额定动载荷和额定寿命</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21559.1-2008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21559.2-2023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直线运动滚动支承  第2部分：额定静载荷</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21559.2-2008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滚动轴承  轴承用陶瓷球  强度测定（缺口球试验）</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12541-2023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汽车通过性试验方法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12541-1990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旅居车辆  居住要求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22551-2008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22552-2023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旅居车辆  术语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22550-2008,</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22552-2008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26778-2023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汽车列车性能要求及试验方法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26778-2011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第1部分：一般信息和使用案例定义</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第2部分：传输层协议和网络层服务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第3部分：协议规范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第4部分：12V/24V电气物理层规范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第5部分：应用程序接口</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第6部分：协议一致性测试规范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第7部分：电气物理层（EPL）一致性测试规范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42691.8-2023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道路车辆 局域互联网络（LIN） 第8部分：电气物理层（EPL）规范：直流电源线上的局域互联网络（DC-LIN）</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15000.3-2023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标准样品工作导则 第3部分：标准样品 定值和均匀性与稳定性评估</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15000.3-2008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7922-2023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照明光源颜色的测量方法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7922-2008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城市色彩设计指南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10067.417-2023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电热和电磁处理装置基本技术条件 第417部分：碳化硅单晶生长装置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工业过程测量变送器试验的参比条件和程序 第1部分：所有类型变送器的通用程序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42567.2-2023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工业过程测量变送器试验的参比条件和程序 第2部分：压力变送器的特定程序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42567.3-2023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工业过程测量变送器试验的参比条件和程序 第3部分：温度变送器的特定程序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实时荧光定量PCR仪性能评价通则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干式化学分析仪性能评价通则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554-2023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船舶和海上技术 船舶系泊和拖带设备 海船用钢质焊接带缆桩</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554-2008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船舶与海上技术  电加热梯踏步试验要求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船舶与海上技术 电加热扶手试验要求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189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2497-2023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船用柴油机增压空气冷却器</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2497-2008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船舶与海上技术  海上环境保护  吸着剂的设计和选用规范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船舶与海洋技术 船用起重机 噪声要求与测量方法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船舶有毒液体物质残余物排放处理要求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船舶与海洋技术 船用起重机 制造要求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造船 甲板机械 绞缆筒外形</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农林拖拉机  安全  第1部分：基本型拖拉机</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农林拖拉机  安全  第2部分：窄轮距和小型拖拉机</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纸、纸板和纸制品  抗菌性能的测定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16732-2023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建筑供暖通风空调净化设备 计量单位及符号</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16732-1997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199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13277.1-2023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压缩空气 第1部分：污染物净化等级</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13277.1-2008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石油及天然气工业　往复压缩机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20322-2006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25359-2023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石油及天然气工业　集成撬装往复压缩机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25359-2010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数字化协同工程  协同设计要求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14191.3-2023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假肢学和矫形器学 术语 第3部分：矫形器术语</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假肢和矫形器 功能缺失 矫形器治疗的患者、临床治疗目标、矫形器功能要求的描述</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造口栓</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儿童福利机构康复辅助器具配置规范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脑卒中踝足矫形器应用指南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22790-2023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自行车  两轮自行车行李架  要求和试验方法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22790-2008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31887.4-2023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自行车  照明和回复反射装置  第4部分：自行车发电机供电的照明系统</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31887.5-2023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自行车  照明和回复反射装置  第5部分：自行车非发电机供电的照明系统</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自行车  鸣号装置  技术规范和试验方法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海洋牧场基本术语</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L波段75kW连续波磁控管技术要求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内燃机 主轴瓦及连杆轴瓦 技术条件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1151-2012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8190.1-2023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往复式内燃机 排放测量 第1部分：气体和颗粒排放物的试验台测量系统</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8190.1-2010,</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8190.11-2009[部]</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8190.4-2023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往复式内燃机 排放测量 第4部分：不同用途发动机的稳态和瞬态试验循环</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8190.4-2010,</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8190.11-2009[部]</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22362-2023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实验室玻璃仪器  烧瓶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15725.4-1995,</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22362-2008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8358-2023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钢丝绳 破断拉力测定方法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8358-2014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219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10561-2023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钢中非金属夹杂物含量的测定  标准评级图显微检验法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10561-2005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41754-2023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核电站用双相不锈钢钢板</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燃气管道涂覆钢管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748-2023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抗硫酸盐硅酸盐水泥</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748-2005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低热矿渣硅酸盐水泥</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25711-2023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铸造机械  通用技术规范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25711-2010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石油、重化学和天然气工业  润滑、轴密封和控制油系统及辅助设备  第1部分：一般要求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石油、重化学和天然气工业   润滑、轴密封和控制油系统及辅助设备  第3部分：一般用途的油系统</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12223-2023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部分回转阀门驱动装置的连接</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12223-2005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12230-2023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通用阀门 不锈钢铸件技术条件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12230-2005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229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煤粉给料三通换向阀</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25679-2023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机组式柔性版印刷机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25679-2010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25680-2023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印刷机械 卧式平压模切机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25680-2010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5989-2023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耐火材料  荷重软化温度试验方法(示差升温法)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5989-2008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人行道密封胶分级和要求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7025.1-2023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电梯主参数及轿厢、井道、机房的型式与尺寸 第1部分:Ⅰ、Ⅱ、Ⅲ、Ⅵ类电梯</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7025.1-2008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24475-2023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电梯远程报警系统</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24475-2009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24476-2023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电梯物联网 企业应用平台基本要求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24476-2017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24479-2023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火灾情况下的电梯特性</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24479-2009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在用电梯安全评估规范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239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电梯物联网 监测终端技术规范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安装于办公、旅馆和住宅建筑的乘客电梯的配置和选择</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23265-2023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水泥混凝土和砂浆用短切玄武岩纤维</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23265-2009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8094-2023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收获机械  联合收割机  粮箱容量及卸粮机构性能的测定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8094-2005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21016-2023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小麦干燥技术规范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21016-2007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25419-2023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果树剪枝机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25419-2010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机械安全  使用说明书  起草通则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机械安全 围栏防护系统 安全要求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8878-2023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针织内衣</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8878-2014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17639-2023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土工合成材料 长丝纺粘针刺非织造土工布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17639-2008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249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21655.1-2023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吸湿速干性的评定 第1部分： 单项组合试验法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21655.1-2008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22862-2023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海岛丝织物</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22862-2009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28189-2023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多环芳烃的测定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28189-2011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应急产业用纺织品分类</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表面抗润湿性能的检测和评价 接触角和滚动角法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定量化学分析 木棉与某些其他纤维的混合物</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磷酸酯类化合物的测定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非织造布 孔隙率测试方法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 xml:space="preserve"> 纺织品 防透视性能的检测和评价</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42699.1-2023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某些动物毛纤维蛋白质组定性和定量分析 第1部分： 还原蛋白质多肽分析液相色谱质谱（LC-ESI-MS）法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259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总硼含量的测定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天然彩色棉的鉴别 化学显色法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汽车内饰用纺织材料  挥发性有机物的测定  箱体法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纺织品 苯残留量的测定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2024-03-01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轨道交通用电线电缆安全导则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17001.7-2023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防伪油墨 第7部分：光学可变防伪油墨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机床安全 压力机 第1部分：通用安全要求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42596.3-2023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机床安全   压力机   第3部分：液压机安全要求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5972-2023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起重机  钢丝绳  保养、维护、检验和报废</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5972-2016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17909.4-2023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起重机 操作手册 第4部分：臂架起重机</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269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18453.4-2023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起重机 维护手册 第4部分：臂架起重机</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26416.7-2023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稀土铁合金化学分析方法 第7部分：碳、硫量的测定 高频-红外吸收法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26416.8-2023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稀土铁合金化学分析方法 第8部分：硅量的测定 光度法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26416.9-2023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稀土铁合金化学分析方法 第9部分：磷量的测定 铋磷钼蓝分光光度法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24354-2023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公共地理信息通用地图符号</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24354-2009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24355-2023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地理信息 图示表达</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24355-2009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24356-2023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测绘成果质量检查与验收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24356-2009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时空大数据技术规范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2900.35-2023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电工术语 爆炸性环境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2900.35-2008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1972.1-2023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碟形弹簧 第1部分：计算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279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1972.2-2023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碟形弹簧 第2部分：技术条件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1972-2005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滑动轴承  轴承材料试验  静态条件下抗润滑剂腐蚀能力</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滑动轴承 金属无法兰薄壁轴瓦  σ0.01*极限值的测定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用于节目制作的先进声音系统</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19314.10-2023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小艇 艇体结构和构件尺寸 第10部分：帆艇帆装载荷及帆装附件</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钛及钛合金带、箔材</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3622-2012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6150.18-2023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钨精矿化学分析方法  第18部分：钡含量的测定  电感耦合等离子体原子发射光谱法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7998-2023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铝合金晶间腐蚀敏感性评价方法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7998-2005,</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26491-2011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8151.25-2023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锌精矿化学分析方法 第25部分：铟含量的测定 火焰原子吸收光谱法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8152.11-2023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铅精矿化学分析方法 第11部分：汞含量的测定 原子荧光光谱法和固体进样直接法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8152.11-2006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289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8152.17-2023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铅精矿化学分析方法 第17部分：铝、镁、铁、铜、锌、镉、砷、锑、铋、钙含量的测定 电感耦合等离子体原子发射光谱法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碳酸锂、单水氢氧化锂、氯化锂化学分析方法  第2部分：氢氧化锂含量的测定  酸碱滴定法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11064.2-2013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18034-2023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快速测温热电偶用铂铑细偶丝规范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18034-2000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20509-2023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电力机车接触材料用铜及铜合金线坯</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20509-2006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22640-2023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铝合金应力腐蚀敏感性评价试验方法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22640-2008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25951-2023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镍及镍合金 术语和定义</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25951.1-2010,</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25951.2-2010,</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25951.3-2010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导电用铜型材</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27671-2011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38470-2023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再生铜合金原料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38470-2019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38471-2023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再生铜原料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38471-2019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474"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38472-2023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再生铸造铝合金原料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38472-2019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299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硬质合金  钴粉中钙、铜、铁、钾、镁、锰、钠、镍和锌含量的测定  火焰原子吸收光谱法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铜合金护套无缝盘管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镍合金化学分析方法 第1部分：铬含量的测定 硫酸亚铁铵电位滴定法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铝及铝合金阳极氧化膜及有机聚合物膜的腐蚀评定 图表法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金属粉末  铁、铜、锡和青铜粉末中酸不溶物含量的测定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高温形状记忆合金化学分析方法 铂含量的测定 硫脲络合沉淀法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铝及铝合金阳极氧化膜及有机聚合物膜的腐蚀评定 栅格法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天然气 含硫化合物的测定 第1部分：用碘量法测定硫化氢含量</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11060.1-2010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天然气 含硫化合物的测定 第2部分：用亚甲蓝法测定硫化氢含量</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天然气 含硫化合物的测定  第12部分：用激光吸收光谱法测定硫化氢含量</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11060.12-2014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309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11060.13-2023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天然气  含硫化合物的测定  第13部分：用紫外吸收法测定硫化氢含量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310</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34533-2023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页岩孔隙度、渗透率和饱和度测定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34533-2017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35210.1-2023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页岩甲烷等温吸附/解吸量的测定  第1部分：静态容积法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35210.1-2017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312</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35212.4-2023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天然气处理厂气体及溶液分析与脱硫、脱碳及硫磺回收分析评价方法  第4部分：用离子色谱法测定醇胺脱硫溶液中钠、镁、钙离子组成</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39139.2-2023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页岩气 环境保护  第2部分：生产作业环境保护推荐作法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42440-2023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页岩气  工厂化压裂用水输送系统技术要求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17626.11-2023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电磁兼容 试验和测量技术 第11部分：对每相输入电流小于或等于16 A设备的电压暂降、短时中断和电压变化抗扰度试验</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17626.11-2008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17799.2-2023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电磁兼容 通用标准 第2部分：工业环境中的抗扰度标准</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17799.2-2003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18169-2023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碰碰车类游乐设施通用技术条件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18169-2008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非公路用旅游观光车辆制动性能试验方法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319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42474.1-2023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爆炸危险化学品汽车运输安全监控系统  第1部分：通用技术要求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42474.2-2023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爆炸危险化学品汽车运输安全监控系统  第2部分：车载装置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42474.3-2023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爆炸危险化学品汽车运输安全监控系统  第3部分：车载装置安装</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42474.4-2023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爆炸危险化学品汽车运输安全监控系统  第4部分：监控客户端</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323</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42474.5-2023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爆炸危险化学品汽车运输安全监控系统  第5部分：车载装置与通信中心间数据接口</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324</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42474.6-2023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爆炸危险化学品汽车运输安全监控系统  第6部分：通信中心与监控客户端间数据接口</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18781-2023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珍珠分级</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18781-2008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38121-2023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雷电防护  雷暴预警系统</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38121-2019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13674-2023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航空派生型燃气轮机燃料使用规范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13674-1992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燃气轮机 质量控制规范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329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20945-2023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网络安全审计产品技术规范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20945-2013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20986-2023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网络安全事件分类分级指南</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20986-2007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24364-2023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信息安全风险管理实施指南</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24364-2009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28451-2023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网络入侵防御产品技术规范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28451-2012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30282-2023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反垃圾邮件产品技术规范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30282-2013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31167-2023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云计算服务安全指南</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31167-2014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31168-2023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云计算服务安全能力要求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31168-2014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31496-2023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信息技术 安全技术 信息安全管理体系 指南</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31496-2015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32920-2023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行业间和组织间通信的信息安全管理</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32920-2016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电子政务移动办公系统安全技术规范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35282-2017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339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边缘计算安全技术要求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区块链技术安全框架</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区块链信息服务安全规范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可信执行环境服务规范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 xml:space="preserve">信息安全技术 网络身份服务安全技术要求 </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个人信息处理中告知和同意的实施指南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移动互联网应用程序（App）个人信息安全测评规范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政务网络安全监测平台技术规范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信息安全技术 电子凭据服务安全规范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24747-2023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有机热载体安全技术条件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24747-2009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349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热交换器及传热元件性能测试方法 第1部分：通用要求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27698.1-2011,</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27698.8-2011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热交换器及传热元件性能测试方法 第4部分：空冷器噪声测定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27698.7-2011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钢质管道内检测技术规范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27699-2011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28055-2023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钢质管道带压封堵技术规范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28055-2011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29464-2023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两相流喷射式热交换器</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29464-2012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29466-2023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板式热交换器机组</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29466-2012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锅炉定期检验</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承压设备介质危害分类导则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承压设备修理基本要求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移动式压力容器修理导则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359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固定式压力容器修理导则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成套装置完整性管理</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超导条带光子探测器    暗计数率</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9089.2-2023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户外严酷条件下的电气设施 第2部分：一般防护要求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9089.2-2008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智能运输系统 智能驾驶电子道路图数据模型与表达 第1部分：封闭道路</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42517.2-2023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智能运输系统 智能驾驶电子道路图数据模型与表达 第2部分：开放道路</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25171-2023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畜禽养殖环境与废弃物管理术语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19525.1-2004,</w:t>
            </w:r>
          </w:p>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25171-2010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26938-2023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牛体内胚胎生产与移植技术规程</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26938-2011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30544.7-2023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纳米科技 术语 第7部分：纳米医学诊断和治疗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30544.12-2023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纳米科技 术语 第12部分：纳米科技中的量子现象</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369</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41232.3-2023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纳米制造 关键控制特性 纳米储能 第3部分：纳米材料接触电阻率和涂层电阻率的测试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润滑脂和石油脂锥入度测定法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269-1991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371</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6683.3-2023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石油及相关产品 测量方法与结果精密度   第3部分：试验方法已发布精密度数据的监测和验证</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9169-2023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喷气燃料热氧化安定性测定法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9169-2010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17476-2023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润滑油和基础油中多种元素的测定 电感耦合等离子体发射光谱法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17476-1998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19721.6-2023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海洋预报和警报发布 第6部分：海流预报发布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自动剖面漂流浮标</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23247-2009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41339.4-2023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海洋生态修复技术指南 第4部分：海草床生态修复</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海湾水交换能力评价技术规程</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海岸侵蚀监测与灾害损失评估技术规范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379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海洋调查船舶舷外调查设备布放与回收安全管理规范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海洋调查船舶实验室安全管理规范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42629.1-2023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国际海底区域和公海环境调查规程 第1部分：总则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国际海底区域和公海环境调查规程 第2部分：海洋化学调查</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42629.3-2023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国际海底区域和公海环境调查规程  第3部分：海洋生物调查</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近岸海洋生态健康评价指南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海洋生态环境水下有缆在线监测系统技术要求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大洋多金属硫化物资源调查规范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潮间带调查规范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多波束水下地形测量技术规范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389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海岛生态建设指南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海洋底栖动物种群生态修复监测和效果评估技术指南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海底沉积物声学特性原位调查规范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可穿戴设备的光辐射安全测量方法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新型墙体材料湿传导及相变呼吸功能的评价要求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31866-2023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物联网标识体系 物品编码Ecode</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31866-2015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38662.2-2023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物联网标识体系 Ecode标识应用指南 第2部分：电线电缆和光纤光缆</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珠宝玉石鉴定  红外光谱法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南红 鉴定</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珠宝玉石追溯体系服务规范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399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珠宝玉石鉴定 紫外-可见吸收光谱法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6730.51-2023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碳酸盐中碳含量的测定 烧碱石棉吸收重量法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6730.51-1986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铁矿烧结系统静态漏风率检测方法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铁矿粉 湿容量的测定方法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散装铁矿粉 适运水分限量的测定 压实曲线法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电磁屏蔽热缩管通用规范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包裹泡棉衬垫的电磁屏蔽效能通用技术要求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平面材料摩擦带电电压检测方法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固体材料使用自由空间法的电磁参数测量方法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高原用换流站电气设备抗震技术 第1部分：抗震试验及评价导则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409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10827.4-2023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工业车辆  安全要求和验证  第4部分：无人驾驶工业车辆及其系统</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10827.6-2023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工业车辆  安全要求和验证  第6部分：货物及人员载运车</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35205.2-2023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越野叉车  安全要求及验证  第2部分：回转式叉车</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35205.6-2023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越野叉车  安全要求及验证  第6部分：倾斜式司机室</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36507-2023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工业车辆  使用、操作与维护安全规范</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36507-2018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42784.1-2023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越野叉车  验证视野的试验方法  第1部分：伸缩臂式叉车</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微机电系统（MEMS）技术 术语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26111-2010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42191-2023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MEMS压阻式压力敏感器件性能试验方法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42597-2023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微机电系统（MEMS）技术 陀螺仪</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9816.1-2023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热熔断体 第1部分：要求和应用导则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9816.1-2013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419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公共安全 城市安全风险评估</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餐饮服务信息分类与描述</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18604-2023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用气体超声流量计测量天然气流量</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18604-2014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33685-2023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地震勘探数据处理技术规程</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33685-2017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42797-2023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二氧化碳捕集、输送和地质封存 管道输送系统</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39545.4-2023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闭式齿轮传动装置的零部件设计和选择 第4部分：挠性联轴器平衡等级</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机动车检验术语</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426</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41638.2-2023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生物基塑料的碳足迹和环境足迹  第2部分：材料碳足迹  由空气中并入到聚合物分子中CO2的量（质量）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41638.3-2023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生物基塑料的碳足迹和环境足迹   第3部分：过程碳足迹  量化要求与准则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428</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塑料 在实验室中温条件下暴露于海洋接种物的材料固有需氧生物分解能力评估 试验方法与要求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429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核电厂橡胶衬里工程腐蚀控制全生命周期通用要求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42525-2023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微滤膜除菌过滤系统技术规范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26968-2023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饲料机械  产品型号编制方法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26968-2011</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15776-2023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造林技术规程</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15776-2016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日用陶瓷器规格误差和缺陷尺寸的测定方法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3301-1999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5003-2023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日用陶瓷器釉面耐化学腐蚀性的测定方法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5003-1999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10815-2023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日用精陶器</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10815-2002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肉桂产品质量等级</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M100车用甲醇燃料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M100车用甲醇燃料添加剂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439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42546-2023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农业废弃物资源化利用 农产品加工废弃物再生利用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农业废弃物资源化利用 农业生产资料包装废弃物处置和回收利用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42679-2023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农业废弃物资源化利用 生物质资源综合利用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循环经济绩效评价 农业废弃物资源化利用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22077-2023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架空导线蠕变试验方法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22077-2008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航天器吊装通用要求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空间用太阳电池通用规范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空间数据与信息传输系统 星载数据管理监控设计要求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空间用锂离子蓄电池通用规范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空间数据与信息传输系统 无损数据压缩</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449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空间数据与信息传输系统  束协议</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星载激光测高仪场地定标探测器布设与测量方法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星载激光测高仪在轨场地定标方法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42649-2023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空间数据与信息传输系统  利克莱德传输协议（LTP）</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空间数据与信息传输系统 多光谱和高光谱图像无损及近无损压缩</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空间数据与信息传输系统 图像数据压缩</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38924.11-2023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民用轻小型无人机系统环境试验方法 第11部分：霉菌试验</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飞机交流感应电动机驱动的变量液压泵通用规范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42434-2023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飞机恒压变量液压泵通用规范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42680-2023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基于相位多普勒技术的液体燃料雾化特性测试方法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459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取水定额 第6部分：啤酒</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18916.6-2012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取水定额 第7部分：酒精</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18916.7-2014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18916.12-2023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取水定额 第12部分：氧化铝</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18916.12-2012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取水定额 第16部分:电解铝</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18916.16-2014</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33233-2023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节水型企业  电解铝行业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33233-2016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高纯不透明石英玻璃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湿地退化评估技术规范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18899-2023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全介质自承式光缆</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18899-2002</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口腔清洁护理液对牙齿硬组织潜在腐蚀性的评估方法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口腔清洁护理用品安全评估指南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469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30029-2023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自动导引车 设计通则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30029-2013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30030-2023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自动导引车 术语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30030-2013</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42537-2023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特大型锻钢件的热处理规范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42602-2023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大型锻钢件的锻造规范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8226-2023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道路运输术语</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8226-2008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14951-2023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汽车节油技术评定方法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14951-2007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计量器具环境试验的通用要求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计量器具控制软件的通用要求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42556-2023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电能表监督管理规范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42580-2023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智能实验室  微生物质谱鉴定平台</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479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港口基础地理信息交换服务技术要求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港口海铁联运电子数据交换技术要求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自动化集装箱码头操作系统技术要求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港口地理要素分类与编码规范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42811-2023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港口集装箱作业系统技术要求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城市垃圾收集装置设置通用要求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42766-2023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光伏发电太阳能资源评估规范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北斗双模型OEM板性能要求及测试方法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北斗/全球卫星导航系统（GNSS）高精度片上系统（SoC）技术要求及测试方法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北斗/全球卫星导航系统（GNSS）卫星高精度应用参数定义及描述</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489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北斗剖分时间码</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42579-2023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北斗卫星导航系统时间</w:t>
            </w:r>
          </w:p>
        </w:tc>
        <w:tc>
          <w:tcPr>
            <w:tcW w:w="2268" w:type="dxa"/>
            <w:noWrap w:val="0"/>
            <w:vAlign w:val="top"/>
          </w:tcPr>
          <w:p>
            <w:pPr>
              <w:jc w:val="both"/>
              <w:rPr>
                <w:rFonts w:hint="default" w:ascii="Times New Roman" w:hAnsi="Times New Roman" w:eastAsia="仿宋_GB2312" w:cs="Times New Roman"/>
                <w:i w:val="0"/>
                <w:color w:val="000000"/>
                <w:spacing w:val="-11"/>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移动式储能电站通用规范</w:t>
            </w:r>
          </w:p>
        </w:tc>
        <w:tc>
          <w:tcPr>
            <w:tcW w:w="2268" w:type="dxa"/>
            <w:noWrap w:val="0"/>
            <w:vAlign w:val="top"/>
          </w:tcPr>
          <w:p>
            <w:pPr>
              <w:jc w:val="both"/>
              <w:rPr>
                <w:rFonts w:hint="default" w:ascii="Times New Roman" w:hAnsi="Times New Roman" w:eastAsia="仿宋_GB2312" w:cs="Times New Roman"/>
                <w:i w:val="0"/>
                <w:color w:val="000000"/>
                <w:spacing w:val="-11"/>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电化学储能电站建模导则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电化学储能电站并网性能评价方法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电化学储能电站监控系统技术规范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 设计 金属材料激光粉末床熔融</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 设计 高分子材料激光粉末床熔融</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42619-2023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 工艺参数库构建规范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 材料挤出成形用丙烯腈-丁二烯-苯乙烯（ABS）丝材</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499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 定向能量沉积-铣削复合增材制造工艺规范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增材制造  激光定向能量沉积用钛及钛合金粉末</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跨境电子商务供应链质量安全管理指南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微电网技术要求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42565-2023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量子计算 术语和定义</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42752-2023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区块链和分布式记账技术 参考架构</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婴童用品 日常运动防护器具通用技术要求</w:t>
            </w:r>
          </w:p>
        </w:tc>
        <w:tc>
          <w:tcPr>
            <w:tcW w:w="2268" w:type="dxa"/>
            <w:noWrap w:val="0"/>
            <w:vAlign w:val="top"/>
          </w:tcPr>
          <w:p>
            <w:pPr>
              <w:jc w:val="both"/>
              <w:rPr>
                <w:rFonts w:hint="default" w:ascii="Times New Roman" w:hAnsi="Times New Roman" w:eastAsia="仿宋_GB2312" w:cs="Times New Roman"/>
                <w:i w:val="0"/>
                <w:color w:val="000000"/>
                <w:spacing w:val="-11"/>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婴童用品 洗浴器具通用技术要求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婴童用品 母婴室配套用品通用技术要求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婴童用品 承载式安抚器具通用技术要求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509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婴童用品 居家防护用品通用技术要求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42806-2023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婴童用品 餐具与喂食器具通用技术要求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34805-2023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6"/>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农业社会化服务 农业废弃物综合利用通用要求</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34805-2017</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42781-2023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农业社会化服务 农作物集中育秧（苗）服务规范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42727-2023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政务服务事项电子文件归档规范</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7702.7-2023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煤质颗粒活性炭试验方法 第7部分：碘吸附值的测定</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7702.7-2008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15831-2023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钢管脚手架扣件</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 15831-2006</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42709.5-2023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微电子机械器件 第5部分：射频MEMS开关</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517</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42709.7-2023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半导体器件 微电子机械器件 第7部分：用于射频控制和选择的MEMS体声波滤波器和双工器</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42778-2023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无土草毯</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2023-09-01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519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11748-2023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激光治疗设备 二氧化碳激光治疗机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 11748-2005</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12257-2023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激光治疗设备  氦氖激光治疗机</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 12257-2000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9107-2023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精制棉</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9107-1999</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14416-2023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锅炉蒸汽的采样方法</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14416-2010</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13813-2023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煤矿用金属材料摩擦火花安全性试验方法和判定规则</w:t>
            </w:r>
          </w:p>
        </w:tc>
        <w:tc>
          <w:tcPr>
            <w:tcW w:w="226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13813-2008</w:t>
            </w: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42638-2023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煤矿井下煤层瓦斯抽采半径直接测定方法 抽采量法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525</w:t>
            </w:r>
          </w:p>
        </w:tc>
        <w:tc>
          <w:tcPr>
            <w:tcW w:w="2098"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42533-2023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液压传动  系统  系统清洁度与构成该系统的元件清洁度和油液污染度理论关联法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526</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42624-2023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真空技术 真空计 放气率的测试和报告程序</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527</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42625-2023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真空技术  真空计  用于分压力测量的四极质谱仪特性</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528</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42759-2023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智慧城市 人工智能技术应用场景分类指南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529</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17626.33-2023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电磁兼容  试验和测量技术 第33部分：高功率瞬态参数测量方法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2024-06-01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530</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42520-2023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铁矿石X射线荧光光谱分析实验室操作指南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531</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42521-2023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铁矿石  试样的酸溶解或碱熔融方法</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532</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42540-2023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制药装备密闭性技术指南 固体制剂</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533</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42722-2023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工业领域电力需求侧管理实施指南</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534</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42773-2023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女性创业 关键定义和通用准则</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40" w:type="dxa"/>
            <w:left w:w="108" w:type="dxa"/>
            <w:bottom w:w="40" w:type="dxa"/>
            <w:right w:w="108" w:type="dxa"/>
          </w:tblCellMar>
        </w:tblPrEx>
        <w:trPr>
          <w:cantSplit/>
          <w:trHeight w:val="23" w:hRule="atLeast"/>
          <w:jc w:val="center"/>
        </w:trPr>
        <w:tc>
          <w:tcPr>
            <w:tcW w:w="680" w:type="dxa"/>
            <w:noWrap w:val="0"/>
            <w:vAlign w:val="top"/>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535</w:t>
            </w:r>
          </w:p>
        </w:tc>
        <w:tc>
          <w:tcPr>
            <w:tcW w:w="2098" w:type="dxa"/>
            <w:noWrap w:val="0"/>
            <w:vAlign w:val="bottom"/>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GB/Z 42692-2023</w:t>
            </w:r>
          </w:p>
        </w:tc>
        <w:tc>
          <w:tcPr>
            <w:tcW w:w="7597"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庭院凉篷</w:t>
            </w:r>
          </w:p>
        </w:tc>
        <w:tc>
          <w:tcPr>
            <w:tcW w:w="2268" w:type="dxa"/>
            <w:noWrap w:val="0"/>
            <w:vAlign w:val="top"/>
          </w:tcPr>
          <w:p>
            <w:pPr>
              <w:jc w:val="both"/>
              <w:rPr>
                <w:rFonts w:hint="default" w:ascii="Times New Roman" w:hAnsi="Times New Roman" w:eastAsia="仿宋_GB2312" w:cs="Times New Roman"/>
                <w:i w:val="0"/>
                <w:color w:val="000000"/>
                <w:kern w:val="0"/>
                <w:sz w:val="22"/>
                <w:szCs w:val="22"/>
                <w:u w:val="none"/>
                <w:lang w:val="en-US" w:eastAsia="zh-CN" w:bidi="ar"/>
              </w:rPr>
            </w:pPr>
          </w:p>
        </w:tc>
        <w:tc>
          <w:tcPr>
            <w:tcW w:w="1361" w:type="dxa"/>
            <w:noWrap w:val="0"/>
            <w:vAlign w:val="top"/>
          </w:tcPr>
          <w:p>
            <w:pPr>
              <w:keepNext w:val="0"/>
              <w:keepLines w:val="0"/>
              <w:widowControl/>
              <w:suppressLineNumbers w:val="0"/>
              <w:jc w:val="both"/>
              <w:textAlignment w:val="bottom"/>
              <w:rPr>
                <w:rFonts w:hint="default" w:ascii="Times New Roman" w:hAnsi="Times New Roman" w:eastAsia="仿宋_GB2312" w:cs="Times New Roman"/>
                <w:i w:val="0"/>
                <w:color w:val="000000"/>
                <w:spacing w:val="-11"/>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2023-12-01</w:t>
            </w:r>
          </w:p>
        </w:tc>
      </w:tr>
    </w:tbl>
    <w:p>
      <w:pPr>
        <w:rPr>
          <w:rFonts w:hint="eastAsia" w:ascii="黑体" w:hAnsi="黑体" w:eastAsia="黑体" w:cs="Times New Roman"/>
          <w:sz w:val="32"/>
          <w:szCs w:val="32"/>
        </w:rPr>
      </w:pPr>
      <w:r>
        <w:rPr>
          <w:rFonts w:hint="eastAsia" w:ascii="黑体" w:hAnsi="黑体" w:eastAsia="黑体" w:cs="Times New Roman"/>
          <w:sz w:val="32"/>
          <w:szCs w:val="32"/>
        </w:rPr>
        <w:br w:type="page"/>
      </w:r>
    </w:p>
    <w:p>
      <w:pPr>
        <w:widowControl/>
        <w:numPr>
          <w:ilvl w:val="0"/>
          <w:numId w:val="2"/>
        </w:numPr>
        <w:jc w:val="left"/>
        <w:rPr>
          <w:rFonts w:hint="eastAsia" w:ascii="黑体" w:hAnsi="黑体" w:eastAsia="黑体" w:cs="Times New Roman"/>
          <w:sz w:val="32"/>
          <w:szCs w:val="32"/>
        </w:rPr>
      </w:pPr>
      <w:r>
        <w:rPr>
          <w:rFonts w:hint="eastAsia" w:ascii="黑体" w:hAnsi="黑体" w:eastAsia="黑体" w:cs="Times New Roman"/>
          <w:sz w:val="32"/>
          <w:szCs w:val="32"/>
        </w:rPr>
        <w:t>国家标准修改单</w:t>
      </w:r>
    </w:p>
    <w:tbl>
      <w:tblPr>
        <w:tblStyle w:val="10"/>
        <w:tblW w:w="13865"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268"/>
        <w:gridCol w:w="7513"/>
        <w:gridCol w:w="1984"/>
        <w:gridCol w:w="139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 w:val="0"/>
                <w:bCs w:val="0"/>
                <w:color w:val="000000"/>
                <w:kern w:val="0"/>
                <w:sz w:val="22"/>
              </w:rPr>
            </w:pPr>
            <w:r>
              <w:rPr>
                <w:rFonts w:hint="default" w:ascii="Times New Roman" w:hAnsi="Times New Roman" w:eastAsia="黑体" w:cs="Times New Roman"/>
                <w:b w:val="0"/>
                <w:bCs w:val="0"/>
                <w:color w:val="000000"/>
                <w:kern w:val="0"/>
                <w:sz w:val="22"/>
              </w:rPr>
              <w:t>序号</w:t>
            </w:r>
          </w:p>
        </w:tc>
        <w:tc>
          <w:tcPr>
            <w:tcW w:w="2268"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 w:val="0"/>
                <w:bCs w:val="0"/>
                <w:color w:val="000000"/>
                <w:kern w:val="0"/>
                <w:sz w:val="22"/>
              </w:rPr>
            </w:pPr>
            <w:r>
              <w:rPr>
                <w:rFonts w:hint="default" w:ascii="Times New Roman" w:hAnsi="Times New Roman" w:eastAsia="黑体" w:cs="Times New Roman"/>
                <w:b w:val="0"/>
                <w:bCs w:val="0"/>
                <w:color w:val="000000"/>
                <w:kern w:val="0"/>
                <w:sz w:val="22"/>
              </w:rPr>
              <w:t>国家标准编号</w:t>
            </w:r>
          </w:p>
        </w:tc>
        <w:tc>
          <w:tcPr>
            <w:tcW w:w="7513"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 w:val="0"/>
                <w:bCs w:val="0"/>
                <w:color w:val="000000"/>
                <w:kern w:val="0"/>
                <w:sz w:val="22"/>
              </w:rPr>
            </w:pPr>
            <w:r>
              <w:rPr>
                <w:rFonts w:hint="default" w:ascii="Times New Roman" w:hAnsi="Times New Roman" w:eastAsia="黑体" w:cs="Times New Roman"/>
                <w:b w:val="0"/>
                <w:bCs w:val="0"/>
                <w:color w:val="000000"/>
                <w:kern w:val="0"/>
                <w:sz w:val="22"/>
              </w:rPr>
              <w:t>国</w:t>
            </w:r>
            <w:r>
              <w:rPr>
                <w:rFonts w:hint="default" w:ascii="Times New Roman" w:hAnsi="Times New Roman" w:eastAsia="黑体" w:cs="Times New Roman"/>
                <w:b w:val="0"/>
                <w:bCs w:val="0"/>
                <w:color w:val="000000"/>
                <w:kern w:val="0"/>
                <w:sz w:val="22"/>
                <w:lang w:eastAsia="zh-CN"/>
              </w:rPr>
              <w:t xml:space="preserve"> </w:t>
            </w:r>
            <w:r>
              <w:rPr>
                <w:rFonts w:hint="default" w:ascii="Times New Roman" w:hAnsi="Times New Roman" w:eastAsia="黑体" w:cs="Times New Roman"/>
                <w:b w:val="0"/>
                <w:bCs w:val="0"/>
                <w:color w:val="000000"/>
                <w:kern w:val="0"/>
                <w:sz w:val="22"/>
              </w:rPr>
              <w:t>家</w:t>
            </w:r>
            <w:r>
              <w:rPr>
                <w:rFonts w:hint="default" w:ascii="Times New Roman" w:hAnsi="Times New Roman" w:eastAsia="黑体" w:cs="Times New Roman"/>
                <w:b w:val="0"/>
                <w:bCs w:val="0"/>
                <w:color w:val="000000"/>
                <w:kern w:val="0"/>
                <w:sz w:val="22"/>
                <w:lang w:eastAsia="zh-CN"/>
              </w:rPr>
              <w:t xml:space="preserve"> </w:t>
            </w:r>
            <w:r>
              <w:rPr>
                <w:rFonts w:hint="default" w:ascii="Times New Roman" w:hAnsi="Times New Roman" w:eastAsia="黑体" w:cs="Times New Roman"/>
                <w:b w:val="0"/>
                <w:bCs w:val="0"/>
                <w:color w:val="000000"/>
                <w:kern w:val="0"/>
                <w:sz w:val="22"/>
              </w:rPr>
              <w:t>标</w:t>
            </w:r>
            <w:r>
              <w:rPr>
                <w:rFonts w:hint="default" w:ascii="Times New Roman" w:hAnsi="Times New Roman" w:eastAsia="黑体" w:cs="Times New Roman"/>
                <w:b w:val="0"/>
                <w:bCs w:val="0"/>
                <w:color w:val="000000"/>
                <w:kern w:val="0"/>
                <w:sz w:val="22"/>
                <w:lang w:eastAsia="zh-CN"/>
              </w:rPr>
              <w:t xml:space="preserve"> </w:t>
            </w:r>
            <w:r>
              <w:rPr>
                <w:rFonts w:hint="default" w:ascii="Times New Roman" w:hAnsi="Times New Roman" w:eastAsia="黑体" w:cs="Times New Roman"/>
                <w:b w:val="0"/>
                <w:bCs w:val="0"/>
                <w:color w:val="000000"/>
                <w:kern w:val="0"/>
                <w:sz w:val="22"/>
              </w:rPr>
              <w:t>准</w:t>
            </w:r>
            <w:r>
              <w:rPr>
                <w:rFonts w:hint="default" w:ascii="Times New Roman" w:hAnsi="Times New Roman" w:eastAsia="黑体" w:cs="Times New Roman"/>
                <w:b w:val="0"/>
                <w:bCs w:val="0"/>
                <w:color w:val="000000"/>
                <w:kern w:val="0"/>
                <w:sz w:val="22"/>
                <w:lang w:eastAsia="zh-CN"/>
              </w:rPr>
              <w:t xml:space="preserve"> </w:t>
            </w:r>
            <w:r>
              <w:rPr>
                <w:rFonts w:hint="default" w:ascii="Times New Roman" w:hAnsi="Times New Roman" w:eastAsia="黑体" w:cs="Times New Roman"/>
                <w:b w:val="0"/>
                <w:bCs w:val="0"/>
                <w:color w:val="000000"/>
                <w:kern w:val="0"/>
                <w:sz w:val="22"/>
              </w:rPr>
              <w:t>名</w:t>
            </w:r>
            <w:r>
              <w:rPr>
                <w:rFonts w:hint="default" w:ascii="Times New Roman" w:hAnsi="Times New Roman" w:eastAsia="黑体" w:cs="Times New Roman"/>
                <w:b w:val="0"/>
                <w:bCs w:val="0"/>
                <w:color w:val="000000"/>
                <w:kern w:val="0"/>
                <w:sz w:val="22"/>
                <w:lang w:eastAsia="zh-CN"/>
              </w:rPr>
              <w:t xml:space="preserve"> </w:t>
            </w:r>
            <w:r>
              <w:rPr>
                <w:rFonts w:hint="default" w:ascii="Times New Roman" w:hAnsi="Times New Roman" w:eastAsia="黑体" w:cs="Times New Roman"/>
                <w:b w:val="0"/>
                <w:bCs w:val="0"/>
                <w:color w:val="000000"/>
                <w:kern w:val="0"/>
                <w:sz w:val="22"/>
              </w:rPr>
              <w:t>称</w:t>
            </w:r>
          </w:p>
        </w:tc>
        <w:tc>
          <w:tcPr>
            <w:tcW w:w="1984"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 w:val="0"/>
                <w:bCs w:val="0"/>
                <w:color w:val="000000"/>
                <w:kern w:val="0"/>
                <w:sz w:val="22"/>
              </w:rPr>
            </w:pPr>
            <w:r>
              <w:rPr>
                <w:rFonts w:hint="default" w:ascii="Times New Roman" w:hAnsi="Times New Roman" w:eastAsia="黑体" w:cs="Times New Roman"/>
                <w:b w:val="0"/>
                <w:bCs w:val="0"/>
                <w:color w:val="000000"/>
                <w:kern w:val="0"/>
                <w:sz w:val="22"/>
              </w:rPr>
              <w:t>代替标准号</w:t>
            </w:r>
          </w:p>
        </w:tc>
        <w:tc>
          <w:tcPr>
            <w:tcW w:w="1396" w:type="dxa"/>
            <w:tcBorders>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 w:val="0"/>
                <w:bCs w:val="0"/>
                <w:color w:val="000000"/>
                <w:kern w:val="0"/>
                <w:sz w:val="22"/>
              </w:rPr>
            </w:pPr>
            <w:r>
              <w:rPr>
                <w:rFonts w:hint="default" w:ascii="Times New Roman" w:hAnsi="Times New Roman" w:eastAsia="黑体" w:cs="Times New Roman"/>
                <w:b w:val="0"/>
                <w:bCs w:val="0"/>
                <w:color w:val="000000"/>
                <w:kern w:val="0"/>
                <w:sz w:val="22"/>
              </w:rPr>
              <w:t>实施日期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w:t>
            </w:r>
          </w:p>
        </w:tc>
        <w:tc>
          <w:tcPr>
            <w:tcW w:w="2268" w:type="dxa"/>
            <w:tcBorders>
              <w:top w:val="nil"/>
              <w:left w:val="single" w:color="auto" w:sz="4" w:space="0"/>
              <w:bottom w:val="nil"/>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7704-2017</w:t>
            </w:r>
          </w:p>
        </w:tc>
        <w:tc>
          <w:tcPr>
            <w:tcW w:w="7513" w:type="dxa"/>
            <w:tcBorders>
              <w:top w:val="nil"/>
              <w:left w:val="single" w:color="auto" w:sz="4" w:space="0"/>
              <w:bottom w:val="nil"/>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无损检测 Ｘ射线应力测定方法 《第1号修改单》</w:t>
            </w:r>
          </w:p>
        </w:tc>
        <w:tc>
          <w:tcPr>
            <w:tcW w:w="1984" w:type="dxa"/>
            <w:tcBorders>
              <w:top w:val="nil"/>
              <w:left w:val="single" w:color="auto" w:sz="4" w:space="0"/>
              <w:bottom w:val="nil"/>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7704-2008</w:t>
            </w:r>
          </w:p>
        </w:tc>
        <w:tc>
          <w:tcPr>
            <w:tcW w:w="1396" w:type="dxa"/>
            <w:tcBorders>
              <w:top w:val="nil"/>
              <w:left w:val="single" w:color="auto" w:sz="4" w:space="0"/>
              <w:bottom w:val="nil"/>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w:t>
            </w:r>
          </w:p>
        </w:tc>
        <w:tc>
          <w:tcPr>
            <w:tcW w:w="226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2283-2019</w:t>
            </w:r>
          </w:p>
        </w:tc>
        <w:tc>
          <w:tcPr>
            <w:tcW w:w="751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焦化苯 《第1号修改单》</w:t>
            </w:r>
          </w:p>
        </w:tc>
        <w:tc>
          <w:tcPr>
            <w:tcW w:w="198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GB/T 2283-2008</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2023-05-23</w:t>
            </w:r>
          </w:p>
        </w:tc>
      </w:tr>
    </w:tbl>
    <w:p>
      <w:pPr>
        <w:rPr>
          <w:rFonts w:hint="eastAsia" w:eastAsia="宋体"/>
          <w:lang w:eastAsia="zh-CN"/>
        </w:rPr>
      </w:pPr>
      <w:bookmarkStart w:id="0" w:name="_GoBack"/>
      <w:bookmarkEnd w:id="0"/>
    </w:p>
    <w:sectPr>
      <w:footerReference r:id="rId3" w:type="default"/>
      <w:footerReference r:id="rId4" w:type="even"/>
      <w:pgSz w:w="16838" w:h="11906" w:orient="landscape"/>
      <w:pgMar w:top="1474" w:right="1984" w:bottom="1474" w:left="1644" w:header="851" w:footer="1191" w:gutter="0"/>
      <w:pgBorders>
        <w:top w:val="none" w:sz="0" w:space="0"/>
        <w:left w:val="none" w:sz="0" w:space="0"/>
        <w:bottom w:val="none" w:sz="0" w:space="0"/>
        <w:right w:val="none" w:sz="0" w:space="0"/>
      </w:pgBorders>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86"/>
    <w:family w:val="roman"/>
    <w:pitch w:val="default"/>
    <w:sig w:usb0="00000000" w:usb1="00000000"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7BEB7"/>
    <w:multiLevelType w:val="singleLevel"/>
    <w:tmpl w:val="F7E7BEB7"/>
    <w:lvl w:ilvl="0" w:tentative="0">
      <w:start w:val="1"/>
      <w:numFmt w:val="chineseCounting"/>
      <w:suff w:val="nothing"/>
      <w:lvlText w:val="%1、"/>
      <w:lvlJc w:val="left"/>
      <w:rPr>
        <w:rFonts w:hint="eastAsia"/>
      </w:rPr>
    </w:lvl>
  </w:abstractNum>
  <w:abstractNum w:abstractNumId="1">
    <w:nsid w:val="3FEA120F"/>
    <w:multiLevelType w:val="singleLevel"/>
    <w:tmpl w:val="3FEA120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evenAndOddHeaders w:val="true"/>
  <w:drawingGridHorizontalSpacing w:val="107"/>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4465C25"/>
    <w:rsid w:val="04BD1014"/>
    <w:rsid w:val="050C4E4D"/>
    <w:rsid w:val="0CD30E4B"/>
    <w:rsid w:val="0D701F12"/>
    <w:rsid w:val="0F506799"/>
    <w:rsid w:val="0FF0E79A"/>
    <w:rsid w:val="101D74BB"/>
    <w:rsid w:val="12986199"/>
    <w:rsid w:val="137110B8"/>
    <w:rsid w:val="15130C7A"/>
    <w:rsid w:val="16754BEE"/>
    <w:rsid w:val="19673738"/>
    <w:rsid w:val="1A4F22A1"/>
    <w:rsid w:val="1CEC4122"/>
    <w:rsid w:val="1F3E183E"/>
    <w:rsid w:val="1FFF148E"/>
    <w:rsid w:val="24F51523"/>
    <w:rsid w:val="26DC42BD"/>
    <w:rsid w:val="297237DD"/>
    <w:rsid w:val="29EE26A2"/>
    <w:rsid w:val="2CC22420"/>
    <w:rsid w:val="2D4EEE79"/>
    <w:rsid w:val="2FFD168E"/>
    <w:rsid w:val="31077699"/>
    <w:rsid w:val="31E31DB8"/>
    <w:rsid w:val="32B209C7"/>
    <w:rsid w:val="333D7989"/>
    <w:rsid w:val="344B6E69"/>
    <w:rsid w:val="35511F61"/>
    <w:rsid w:val="35AC3113"/>
    <w:rsid w:val="36B31F95"/>
    <w:rsid w:val="37DE12D8"/>
    <w:rsid w:val="37DF7C21"/>
    <w:rsid w:val="38AE0930"/>
    <w:rsid w:val="39D7204E"/>
    <w:rsid w:val="3BE7D995"/>
    <w:rsid w:val="3D3CF64F"/>
    <w:rsid w:val="3D7F33FA"/>
    <w:rsid w:val="3DFF8090"/>
    <w:rsid w:val="3E8F38B7"/>
    <w:rsid w:val="3EF752DA"/>
    <w:rsid w:val="3F0B26CC"/>
    <w:rsid w:val="3F7F6977"/>
    <w:rsid w:val="3FD39FA3"/>
    <w:rsid w:val="41127064"/>
    <w:rsid w:val="43B850E8"/>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4041E64"/>
    <w:rsid w:val="54D332BF"/>
    <w:rsid w:val="55037E8F"/>
    <w:rsid w:val="570222DE"/>
    <w:rsid w:val="57BF2DA2"/>
    <w:rsid w:val="57FA34F5"/>
    <w:rsid w:val="58D6785F"/>
    <w:rsid w:val="5BBEB2B6"/>
    <w:rsid w:val="5BCE6E37"/>
    <w:rsid w:val="5CA6175E"/>
    <w:rsid w:val="5D10443D"/>
    <w:rsid w:val="5EFD5329"/>
    <w:rsid w:val="5F59C619"/>
    <w:rsid w:val="5F5C1672"/>
    <w:rsid w:val="5FCF1ED4"/>
    <w:rsid w:val="60AE416C"/>
    <w:rsid w:val="61CA3494"/>
    <w:rsid w:val="642FECCE"/>
    <w:rsid w:val="64DA3411"/>
    <w:rsid w:val="677BF167"/>
    <w:rsid w:val="67FF56DD"/>
    <w:rsid w:val="681775CB"/>
    <w:rsid w:val="69015752"/>
    <w:rsid w:val="6A0E7CE5"/>
    <w:rsid w:val="6B751AD0"/>
    <w:rsid w:val="6E485159"/>
    <w:rsid w:val="6F643D9C"/>
    <w:rsid w:val="6FEFC31E"/>
    <w:rsid w:val="6FFC2F0D"/>
    <w:rsid w:val="7202194A"/>
    <w:rsid w:val="72A777B7"/>
    <w:rsid w:val="737FD0F5"/>
    <w:rsid w:val="75E7EEBA"/>
    <w:rsid w:val="76C3431C"/>
    <w:rsid w:val="777D522F"/>
    <w:rsid w:val="7ADA7712"/>
    <w:rsid w:val="7BF29DDC"/>
    <w:rsid w:val="7BFFFC6E"/>
    <w:rsid w:val="7CAC5332"/>
    <w:rsid w:val="7CFF80E2"/>
    <w:rsid w:val="7D6E116E"/>
    <w:rsid w:val="7DF32399"/>
    <w:rsid w:val="7E054E0B"/>
    <w:rsid w:val="7EDD5827"/>
    <w:rsid w:val="7EFD7526"/>
    <w:rsid w:val="7F1A7C91"/>
    <w:rsid w:val="7F7B04FD"/>
    <w:rsid w:val="7F7F6001"/>
    <w:rsid w:val="7F99FC5B"/>
    <w:rsid w:val="7F9E8A32"/>
    <w:rsid w:val="7FDB167C"/>
    <w:rsid w:val="7FDF107F"/>
    <w:rsid w:val="7FF96D3E"/>
    <w:rsid w:val="9D67A2C0"/>
    <w:rsid w:val="9FF5E299"/>
    <w:rsid w:val="B5BF5F1C"/>
    <w:rsid w:val="B7FBB37D"/>
    <w:rsid w:val="BFFBF86A"/>
    <w:rsid w:val="CD751717"/>
    <w:rsid w:val="CF5F37ED"/>
    <w:rsid w:val="CF7F238C"/>
    <w:rsid w:val="D17D6641"/>
    <w:rsid w:val="D3B476BF"/>
    <w:rsid w:val="DD7A6D75"/>
    <w:rsid w:val="EAECF2AB"/>
    <w:rsid w:val="EBFD0A8E"/>
    <w:rsid w:val="ECFEBF52"/>
    <w:rsid w:val="EFDBCF90"/>
    <w:rsid w:val="EFE1706F"/>
    <w:rsid w:val="EFFDF953"/>
    <w:rsid w:val="F3D9E9A7"/>
    <w:rsid w:val="F4B5C90B"/>
    <w:rsid w:val="F7EF154F"/>
    <w:rsid w:val="F7F7B6E2"/>
    <w:rsid w:val="F8CF3082"/>
    <w:rsid w:val="FAFF9CD1"/>
    <w:rsid w:val="FB7FF94F"/>
    <w:rsid w:val="FCDA5816"/>
    <w:rsid w:val="FD7BA495"/>
    <w:rsid w:val="FDBFD245"/>
    <w:rsid w:val="FE3B76DC"/>
    <w:rsid w:val="FE3BA5E3"/>
    <w:rsid w:val="FE53D536"/>
    <w:rsid w:val="FEBF307D"/>
    <w:rsid w:val="FEC300EB"/>
    <w:rsid w:val="FEF13415"/>
    <w:rsid w:val="FEF37F87"/>
    <w:rsid w:val="FEFBDD17"/>
    <w:rsid w:val="FF7EFB2E"/>
    <w:rsid w:val="FFBFB4AD"/>
    <w:rsid w:val="FFDE03C7"/>
    <w:rsid w:val="FFEFDA9A"/>
    <w:rsid w:val="FFF7804D"/>
    <w:rsid w:val="FFFD2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3443</Words>
  <Characters>3764</Characters>
  <Lines>192</Lines>
  <Paragraphs>54</Paragraphs>
  <TotalTime>35</TotalTime>
  <ScaleCrop>false</ScaleCrop>
  <LinksUpToDate>false</LinksUpToDate>
  <CharactersWithSpaces>3919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2020-03-14T02:48:00Z</dcterms:created>
  <dc:creator>langlf</dc:creator>
  <cp:lastModifiedBy>greatwall</cp:lastModifiedBy>
  <cp:lastPrinted>2023-05-25T17:24:00Z</cp:lastPrinted>
  <dcterms:modified xsi:type="dcterms:W3CDTF">2023-05-25T16:22:42Z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